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Double Standard in Anti-Racism</w:t>
      </w:r>
    </w:p>
    <w:p>
      <w:pPr>
        <w:spacing w:line="48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It is unfortunate that double standards are experienced in the war against racism in modern America. In this case, many instances indicate that Americans make significant exceptions for blacks. For example, when a recognized musician organizes for a concert that involves only blacks and publicly announces that no non-blacks on stage, everything is okay. However, when the opposite happens and a white or Hispanic musician organizes for a show that involves only whites and makes a public announcement that no no-whites on stage, it will make front-page headlines (Dreher). In particular, this is seen as an unambiguous moral infraction where the suspects would be outraged and the event would be called to be viewed in the context of the long history of slavery. On the same note, public shaming will be considered to be in order as well as apologies would be made. The issue of blackface in America elicits a lot of emotions but the fact is that the fight against racism seems to favour black Americans that it does to other races such Asian Americans because when racism is done towards an Asian American, no one bothers but when it is done to a Black American, it creates a big issue. </w:t>
      </w:r>
    </w:p>
    <w:p>
      <w:pPr>
        <w:spacing w:line="48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It is unfortunate that black people can get away with behaviors that white people, especially Asian, cannot. Research indicates that double standard in anti-racism roots from the idea that blacks were taken from their motherland in chains and were forced to work as slaves for many years. On the same note, they were subjected to lynching, segregation, and redlining for another country. Therefore, many individuals claim that in the face of a brutal past, black people are justified to get away with some behaviors.  </w:t>
      </w:r>
    </w:p>
    <w:p>
      <w:pPr>
        <w:spacing w:line="48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However, people forget that young black individuals who were born in recent times benefits from a social license bequeathed to Americans by a history that Americans read in books. Therefore, Asians have a right to be shown the same justice as blacks do when a racism event occurs against Hispanic whites (Dreher). In fact, the claimed logic of utilizing the past to justify racial double standards in modern America is wrong. Precisely, the history pertaining to Jim Crow and slavery has nothing to do with the modern-day blacks. </w:t>
      </w:r>
    </w:p>
    <w:p>
      <w:pPr>
        <w:spacing w:line="48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Research indicates that blacks are the only ethnic group that is openly encouraged to nurse stale grievances back to life in form of double standards. For instance, it does not make sense when a black writer claims that black children should not befriend white because history has offered little reason for individuals of color to trust white individuals. Such kind of posts is published in recognized newspapers such as the New York Times. However, the same post from an Asian is relegated to fringe white supremacist forum. In particular, in defense of such actions and behaviors will not suffice to repeat the platitude that the blacks cannot be racists. </w:t>
      </w:r>
    </w:p>
    <w:p>
      <w:pPr>
        <w:spacing w:line="48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It is unfortunate that both black and white people who speak negatively or write negatively about Asians and other whites can be employed without problems.</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However, when an Asian or white person writes negative pieces about other people or black people or even speaks negatively about blacks, he or she finds it difficult to get employment in any institution in America (Dreher). A good example is some black philosophers and professors advocate for what can be described as anti-white hatred and can be employed in various university. Nevertheless, Asian philosophers and professors who speak in the same manner concerning any racial minority are not hired by any university. In simple terms, this indicates a considerable double standard that rules American in the fight against racism. </w:t>
      </w:r>
    </w:p>
    <w:p>
      <w:pPr>
        <w:spacing w:line="48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Some authors assert that there are a set of taboos that treat black individuals differently grounded on being black and gay instead of being white and gay (Gagliano). On the same note, research indicates that double standards play a critical role in the legal system. In particular, it is clear that black people are treated differently in courts as compared to Asians. A certain type of favors are experienced in the American courts when it comes to handling cases about blacks and Asians. Specifically, this kind of favors is a critical challenge to the fight against racism in the United States of America.      </w:t>
      </w:r>
    </w:p>
    <w:p>
      <w:pPr>
        <w:spacing w:line="48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On the other hand, other individuals argue that there is no such thing as anti-Asian or ant-whites because racism concerns power. Nevertheless, the formal theory defies that lived experiences progressively play a critical part in offering new defense. Some of them maintain that they do not mean it when they attack the pale patriarchy (Gagliano). With that said, some investigators assert that the notion that racism concerns institutionalized white power does not count for a number of Americans. Specifically, racism implies prejudice or even bigotry on account of skin color or race. Therefore, double standards in anti-racism should be fought to ensure that the fight against racism is successful across all groups in the United States of America.     </w:t>
      </w:r>
    </w:p>
    <w:p>
      <w:pPr>
        <w:spacing w:line="48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The American society should hold its people to the same standard of discourse as well as the minority. Different people should work hard to defend such aspect of enlightenment to ensure that all individuals receive the same measures and justices when it comes to racism. Specifically, this is the only way the Americans, whether Blacks, Asians, or Hispanics, are able to maintain peace in a pluralistic country (Back Story Radio). Nonetheless, it is unfortunate that double standard is the greatest challenge that American faces in its journey to fight racism. It does not make sense when one group is favored over the other in terms of racism fight. In simple terms, Americans should stop double standards to become successful in fighting racism in the country.</w:t>
      </w:r>
    </w:p>
    <w:p>
      <w:pPr>
        <w:spacing w:line="48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It is discouraging to see how Americans are so sensitive about black issues ad so insensitive about racial issues affecting Asians. Even though blackface had taken root in America in the 19th and 20th centuries, today it is considered to be very offensive and disrespectful. As such, many people in America oppose black face issue. For example, if any non-black person jokes about the black people and uses blackface in his or her performance as a connotation for the caricature of black people, such a person is set to meet tough anti-racism scrutiny and can have his career as a performer ended and even charged with offenses of perpetrating racial discrimination and</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offending the black Americans. This is because Americans today seriously oppose</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any actions or jokes that can be termed as racial towards the black Americans. However, when it comes to Asians, no one seems to bother. For example, the D&amp;G Racism against Asians is being given a blind eye and no one bothers to speak or even act about it. In recent Dolce &amp; Gabbana adverts, a Chinese woman was depicted having struggles eating spaghetti using the Chinese chopsticks and she looked confused and baffled and with little experience with pasta. However, she wore western clothes These adverts were seen by Chinese people as racism and also showed western orientalism. D&amp;G come under attack by Chinese people but in the United States of America, it seems like that was a normal thing and no one took the trouble to term this as disrespectful to the Asians. This shows how the fight against racism in US takes the blackface issue so seriously and gives a blind eye to racial disrespect towards Asians in America.</w:t>
      </w:r>
    </w:p>
    <w:p>
      <w:pPr>
        <w:spacing w:line="48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Therefore, it is unfortunate to see double standards being applied in the fight again racism in America. When Asian Americans experience racism, no one seems to care about it but when a black American experiences racism, it creates a big issue and people talk about it so much in the United States. People can even lose their jobs. This being the case, America needs to apply the same energy in addressing racial discrimination and racial profiling regardless of whether the victims are black or Asian Americans.</w:t>
      </w: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after="0" w:line="480" w:lineRule="auto"/>
        <w:jc w:val="center"/>
        <w:rPr>
          <w:rFonts w:ascii="Times New Roman" w:hAnsi="Times New Roman" w:cs="Times New Roman"/>
          <w:b/>
          <w:sz w:val="24"/>
          <w:szCs w:val="24"/>
          <w:lang w:val="en-US"/>
        </w:rPr>
      </w:pPr>
    </w:p>
    <w:p>
      <w:pPr>
        <w:spacing w:after="0" w:line="480" w:lineRule="auto"/>
        <w:jc w:val="center"/>
        <w:rPr>
          <w:rFonts w:ascii="Times New Roman" w:hAnsi="Times New Roman" w:cs="Times New Roman"/>
          <w:b/>
          <w:sz w:val="24"/>
          <w:szCs w:val="24"/>
          <w:lang w:val="en-US"/>
        </w:rPr>
      </w:pPr>
    </w:p>
    <w:p>
      <w:pPr>
        <w:spacing w:after="0" w:line="480" w:lineRule="auto"/>
        <w:jc w:val="center"/>
        <w:rPr>
          <w:rFonts w:ascii="Times New Roman" w:hAnsi="Times New Roman" w:cs="Times New Roman"/>
          <w:b/>
          <w:sz w:val="24"/>
          <w:szCs w:val="24"/>
          <w:lang w:val="en-US"/>
        </w:rPr>
      </w:pPr>
    </w:p>
    <w:p>
      <w:pPr>
        <w:spacing w:after="0" w:line="480" w:lineRule="auto"/>
        <w:ind w:left="720" w:hanging="720"/>
        <w:jc w:val="center"/>
        <w:rPr>
          <w:rFonts w:ascii="Times New Roman" w:hAnsi="Times New Roman" w:cs="Times New Roman"/>
          <w:b/>
          <w:sz w:val="24"/>
          <w:szCs w:val="24"/>
          <w:lang w:val="en-US"/>
        </w:rPr>
      </w:pPr>
      <w:r>
        <w:rPr>
          <w:rFonts w:ascii="Times New Roman" w:hAnsi="Times New Roman" w:cs="Times New Roman"/>
          <w:b/>
          <w:sz w:val="24"/>
          <w:szCs w:val="24"/>
          <w:lang w:val="en-US"/>
        </w:rPr>
        <w:t>Reference</w:t>
      </w:r>
    </w:p>
    <w:p>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Back Story Radio. “The Faces of Racism: A history of blackface and minstrelsy in American culture.” </w:t>
      </w:r>
      <w:r>
        <w:rPr>
          <w:rFonts w:ascii="Times New Roman" w:hAnsi="Times New Roman" w:cs="Times New Roman"/>
          <w:i/>
          <w:sz w:val="24"/>
          <w:szCs w:val="24"/>
        </w:rPr>
        <w:t>Back Story Radio</w:t>
      </w:r>
      <w:r>
        <w:rPr>
          <w:rFonts w:ascii="Times New Roman" w:hAnsi="Times New Roman" w:cs="Times New Roman"/>
          <w:sz w:val="24"/>
          <w:szCs w:val="24"/>
        </w:rPr>
        <w:t>. 08 Feb. 2019</w:t>
      </w:r>
      <w:r>
        <w:rPr>
          <w:rFonts w:ascii="Times New Roman" w:hAnsi="Times New Roman" w:cs="Times New Roman"/>
          <w:sz w:val="24"/>
          <w:szCs w:val="24"/>
          <w:lang w:val="en-US"/>
        </w:rPr>
        <w:t xml:space="preserve">. </w:t>
      </w:r>
      <w:r>
        <w:fldChar w:fldCharType="begin"/>
      </w:r>
      <w:r>
        <w:instrText xml:space="preserve"> HYPERLINK "https://www.backstoryradio.org/shows/the-faces-of-racism/" </w:instrText>
      </w:r>
      <w:r>
        <w:fldChar w:fldCharType="separate"/>
      </w:r>
      <w:r>
        <w:rPr>
          <w:rStyle w:val="7"/>
          <w:rFonts w:ascii="Times New Roman" w:hAnsi="Times New Roman" w:cs="Times New Roman"/>
          <w:sz w:val="24"/>
          <w:szCs w:val="24"/>
        </w:rPr>
        <w:t>https://www.backstoryradio.org/shows/the-faces-of-racism/</w:t>
      </w:r>
      <w:r>
        <w:rPr>
          <w:rStyle w:val="7"/>
          <w:rFonts w:ascii="Times New Roman" w:hAnsi="Times New Roman" w:cs="Times New Roman"/>
          <w:sz w:val="24"/>
          <w:szCs w:val="24"/>
        </w:rPr>
        <w:fldChar w:fldCharType="end"/>
      </w:r>
      <w:r>
        <w:rPr>
          <w:rFonts w:ascii="Times New Roman" w:hAnsi="Times New Roman" w:cs="Times New Roman"/>
          <w:sz w:val="24"/>
          <w:szCs w:val="24"/>
        </w:rPr>
        <w:t xml:space="preserve">. Web. 21 Feb. 2019. </w:t>
      </w:r>
    </w:p>
    <w:p>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Dreher, Rod. “The Racial Double Standard.” </w:t>
      </w:r>
      <w:r>
        <w:rPr>
          <w:rFonts w:ascii="Times New Roman" w:hAnsi="Times New Roman" w:cs="Times New Roman"/>
          <w:i/>
          <w:sz w:val="24"/>
          <w:szCs w:val="24"/>
        </w:rPr>
        <w:t>The American Conservative</w:t>
      </w:r>
      <w:r>
        <w:rPr>
          <w:rFonts w:ascii="Times New Roman" w:hAnsi="Times New Roman" w:cs="Times New Roman"/>
          <w:sz w:val="24"/>
          <w:szCs w:val="24"/>
        </w:rPr>
        <w:t>. 05 June</w:t>
      </w:r>
      <w:r>
        <w:rPr>
          <w:rFonts w:ascii="Times New Roman" w:hAnsi="Times New Roman" w:cs="Times New Roman"/>
          <w:sz w:val="24"/>
          <w:szCs w:val="24"/>
          <w:lang w:val="en-US"/>
        </w:rPr>
        <w:t xml:space="preserve"> </w:t>
      </w:r>
      <w:r>
        <w:rPr>
          <w:rFonts w:ascii="Times New Roman" w:hAnsi="Times New Roman" w:cs="Times New Roman"/>
          <w:sz w:val="24"/>
          <w:szCs w:val="24"/>
        </w:rPr>
        <w:t>2018.</w:t>
      </w:r>
      <w:r>
        <w:fldChar w:fldCharType="begin"/>
      </w:r>
      <w:r>
        <w:instrText xml:space="preserve"> HYPERLINK "https://www.theamericanconservative.com/dreher/coleman-hughes-racial-double-standard/" </w:instrText>
      </w:r>
      <w:r>
        <w:fldChar w:fldCharType="separate"/>
      </w:r>
      <w:r>
        <w:rPr>
          <w:rStyle w:val="7"/>
          <w:rFonts w:ascii="Times New Roman" w:hAnsi="Times New Roman" w:cs="Times New Roman"/>
          <w:sz w:val="24"/>
          <w:szCs w:val="24"/>
        </w:rPr>
        <w:t>https://www.theamericanconservative.com/dreher/coleman-hughes-racial-double-standard/</w:t>
      </w:r>
      <w:r>
        <w:rPr>
          <w:rStyle w:val="7"/>
          <w:rFonts w:ascii="Times New Roman" w:hAnsi="Times New Roman" w:cs="Times New Roman"/>
          <w:sz w:val="24"/>
          <w:szCs w:val="24"/>
        </w:rPr>
        <w:fldChar w:fldCharType="end"/>
      </w:r>
      <w:r>
        <w:rPr>
          <w:rFonts w:ascii="Times New Roman" w:hAnsi="Times New Roman" w:cs="Times New Roman"/>
          <w:sz w:val="24"/>
          <w:szCs w:val="24"/>
        </w:rPr>
        <w:t xml:space="preserve">. Web. 21 Feb 2019.  </w:t>
      </w:r>
    </w:p>
    <w:p>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Gagliano, James. “Racism is Racism: So why the obvious double standard in Hollywood and the media?” </w:t>
      </w:r>
      <w:r>
        <w:rPr>
          <w:rFonts w:ascii="Times New Roman" w:hAnsi="Times New Roman" w:cs="Times New Roman"/>
          <w:i/>
          <w:sz w:val="24"/>
          <w:szCs w:val="24"/>
        </w:rPr>
        <w:t>Washington Examiner</w:t>
      </w:r>
      <w:r>
        <w:rPr>
          <w:rFonts w:ascii="Times New Roman" w:hAnsi="Times New Roman" w:cs="Times New Roman"/>
          <w:sz w:val="24"/>
          <w:szCs w:val="24"/>
        </w:rPr>
        <w:t xml:space="preserve">. 30 May 2018. </w:t>
      </w:r>
      <w:r>
        <w:fldChar w:fldCharType="begin"/>
      </w:r>
      <w:r>
        <w:instrText xml:space="preserve"> HYPERLINK "https://www.washingtonexaminer.com/opinion/racism-is-racism-so-why-the-obvious-double-standard-in-hollywood-and-the-media" </w:instrText>
      </w:r>
      <w:r>
        <w:fldChar w:fldCharType="separate"/>
      </w:r>
      <w:r>
        <w:rPr>
          <w:rStyle w:val="7"/>
          <w:rFonts w:ascii="Times New Roman" w:hAnsi="Times New Roman" w:cs="Times New Roman"/>
          <w:sz w:val="24"/>
          <w:szCs w:val="24"/>
        </w:rPr>
        <w:t>https://www.washingtonexaminer.com/opinion/racism-is-racism-so-why-the-obvious-double-standard-in-hollywood-and-the-media</w:t>
      </w:r>
      <w:r>
        <w:rPr>
          <w:rStyle w:val="7"/>
          <w:rFonts w:ascii="Times New Roman" w:hAnsi="Times New Roman" w:cs="Times New Roman"/>
          <w:sz w:val="24"/>
          <w:szCs w:val="24"/>
        </w:rPr>
        <w:fldChar w:fldCharType="end"/>
      </w:r>
      <w:r>
        <w:rPr>
          <w:rFonts w:ascii="Times New Roman" w:hAnsi="Times New Roman" w:cs="Times New Roman"/>
          <w:sz w:val="24"/>
          <w:szCs w:val="24"/>
        </w:rPr>
        <w:t>. Web. 21 Feb. 2019.</w:t>
      </w:r>
    </w:p>
    <w:p>
      <w:pPr>
        <w:spacing w:after="0" w:line="480" w:lineRule="auto"/>
        <w:ind w:left="720" w:hanging="720"/>
        <w:rPr>
          <w:rFonts w:ascii="Times New Roman" w:hAnsi="Times New Roman" w:cs="Times New Roman"/>
          <w:sz w:val="24"/>
          <w:szCs w:val="24"/>
        </w:rPr>
      </w:pPr>
    </w:p>
    <w:p>
      <w:pPr>
        <w:spacing w:after="0" w:line="480" w:lineRule="auto"/>
        <w:ind w:left="720" w:hanging="720"/>
        <w:rPr>
          <w:rFonts w:ascii="Times New Roman" w:hAnsi="Times New Roman" w:cs="Times New Roman"/>
          <w:sz w:val="24"/>
          <w:szCs w:val="24"/>
        </w:rPr>
      </w:pPr>
    </w:p>
    <w:p>
      <w:pPr>
        <w:spacing w:after="0" w:line="480" w:lineRule="auto"/>
        <w:ind w:left="720" w:hanging="720"/>
        <w:rPr>
          <w:rFonts w:ascii="Times New Roman" w:hAnsi="Times New Roman" w:cs="Times New Roman"/>
          <w:sz w:val="24"/>
          <w:szCs w:val="24"/>
        </w:rPr>
      </w:pPr>
    </w:p>
    <w:p>
      <w:pPr>
        <w:spacing w:after="0" w:line="240" w:lineRule="auto"/>
        <w:rPr>
          <w:b/>
          <w:sz w:val="24"/>
          <w:szCs w:val="24"/>
        </w:rPr>
      </w:pPr>
      <w:r>
        <w:rPr>
          <w:b/>
          <w:sz w:val="24"/>
          <w:szCs w:val="24"/>
        </w:rPr>
        <w:t>Research Essay Rubric</w:t>
      </w:r>
    </w:p>
    <w:p>
      <w:pPr>
        <w:spacing w:after="0" w:line="240" w:lineRule="auto"/>
        <w:rPr>
          <w:i/>
          <w:sz w:val="20"/>
          <w:szCs w:val="20"/>
        </w:rPr>
      </w:pPr>
      <w:r>
        <w:rPr>
          <w:i/>
          <w:sz w:val="20"/>
          <w:szCs w:val="20"/>
        </w:rPr>
        <w:t xml:space="preserve">Research is fundamental to this assignment.  Without it, the essay does not pass.  </w:t>
      </w:r>
      <w:r>
        <w:rPr>
          <w:b/>
          <w:i/>
          <w:sz w:val="20"/>
          <w:szCs w:val="20"/>
        </w:rPr>
        <w:t>Documentation must at least be proficient to pass.</w:t>
      </w:r>
      <w:r>
        <w:rPr>
          <w:i/>
          <w:sz w:val="20"/>
          <w:szCs w:val="20"/>
        </w:rPr>
        <w:t xml:space="preserve">  Writing must be at least satisfactory.</w:t>
      </w:r>
    </w:p>
    <w:p>
      <w:pPr>
        <w:spacing w:after="0" w:line="240" w:lineRule="auto"/>
        <w:rPr>
          <w:b/>
          <w:sz w:val="24"/>
          <w:szCs w:val="24"/>
        </w:rPr>
      </w:pPr>
    </w:p>
    <w:tbl>
      <w:tblPr>
        <w:tblStyle w:val="5"/>
        <w:tblW w:w="10260" w:type="dxa"/>
        <w:tblInd w:w="-34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30"/>
        <w:gridCol w:w="2070"/>
        <w:gridCol w:w="1710"/>
        <w:gridCol w:w="1890"/>
        <w:gridCol w:w="2250"/>
        <w:gridCol w:w="81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1530" w:type="dxa"/>
          </w:tcPr>
          <w:p>
            <w:pPr>
              <w:spacing w:after="0" w:line="240" w:lineRule="auto"/>
              <w:rPr>
                <w:b/>
                <w:sz w:val="20"/>
                <w:szCs w:val="20"/>
              </w:rPr>
            </w:pPr>
            <w:r>
              <w:rPr>
                <w:b/>
                <w:sz w:val="20"/>
                <w:szCs w:val="20"/>
              </w:rPr>
              <w:t>Criteria</w:t>
            </w:r>
          </w:p>
        </w:tc>
        <w:tc>
          <w:tcPr>
            <w:tcW w:w="3780" w:type="dxa"/>
            <w:gridSpan w:val="2"/>
          </w:tcPr>
          <w:p>
            <w:pPr>
              <w:spacing w:after="0" w:line="240" w:lineRule="auto"/>
              <w:rPr>
                <w:b/>
                <w:sz w:val="20"/>
                <w:szCs w:val="20"/>
              </w:rPr>
            </w:pPr>
            <w:r>
              <w:rPr>
                <w:b/>
                <w:sz w:val="20"/>
                <w:szCs w:val="20"/>
              </w:rPr>
              <w:t>Unsatisfactory: 0</w:t>
            </w:r>
          </w:p>
        </w:tc>
        <w:tc>
          <w:tcPr>
            <w:tcW w:w="1890" w:type="dxa"/>
            <w:shd w:val="clear" w:color="auto" w:fill="3DFF45"/>
          </w:tcPr>
          <w:p>
            <w:pPr>
              <w:spacing w:after="0" w:line="240" w:lineRule="auto"/>
              <w:rPr>
                <w:b/>
                <w:sz w:val="20"/>
                <w:szCs w:val="20"/>
              </w:rPr>
            </w:pPr>
            <w:r>
              <w:rPr>
                <w:b/>
                <w:sz w:val="20"/>
                <w:szCs w:val="20"/>
              </w:rPr>
              <w:t>Proficient: 14-17</w:t>
            </w:r>
          </w:p>
        </w:tc>
        <w:tc>
          <w:tcPr>
            <w:tcW w:w="2250" w:type="dxa"/>
            <w:shd w:val="clear" w:color="auto" w:fill="3DFF45"/>
          </w:tcPr>
          <w:p>
            <w:pPr>
              <w:spacing w:after="0" w:line="240" w:lineRule="auto"/>
              <w:rPr>
                <w:b/>
                <w:sz w:val="20"/>
                <w:szCs w:val="20"/>
              </w:rPr>
            </w:pPr>
            <w:r>
              <w:rPr>
                <w:b/>
                <w:sz w:val="20"/>
                <w:szCs w:val="20"/>
              </w:rPr>
              <w:t>Exemplary: 18-20</w:t>
            </w:r>
          </w:p>
        </w:tc>
        <w:tc>
          <w:tcPr>
            <w:tcW w:w="810" w:type="dxa"/>
          </w:tcPr>
          <w:p>
            <w:pPr>
              <w:spacing w:after="0" w:line="240" w:lineRule="auto"/>
              <w:rPr>
                <w:b/>
                <w:sz w:val="20"/>
                <w:szCs w:val="20"/>
              </w:rPr>
            </w:pPr>
            <w:r>
              <w:rPr>
                <w:b/>
                <w:sz w:val="20"/>
                <w:szCs w:val="20"/>
              </w:rPr>
              <w:t>Points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1530" w:type="dxa"/>
          </w:tcPr>
          <w:p>
            <w:pPr>
              <w:spacing w:after="0" w:line="240" w:lineRule="auto"/>
              <w:rPr>
                <w:rFonts w:ascii="Arial Narrow" w:hAnsi="Arial Narrow"/>
                <w:b/>
                <w:sz w:val="20"/>
                <w:szCs w:val="20"/>
              </w:rPr>
            </w:pPr>
            <w:r>
              <w:rPr>
                <w:rFonts w:ascii="Arial Narrow" w:hAnsi="Arial Narrow"/>
                <w:b/>
                <w:sz w:val="20"/>
                <w:szCs w:val="20"/>
              </w:rPr>
              <w:t>Research</w:t>
            </w:r>
          </w:p>
        </w:tc>
        <w:tc>
          <w:tcPr>
            <w:tcW w:w="3780" w:type="dxa"/>
            <w:gridSpan w:val="2"/>
            <w:shd w:val="clear" w:color="auto" w:fill="D8D8D8" w:themeFill="background1" w:themeFillShade="D9"/>
          </w:tcPr>
          <w:p>
            <w:pPr>
              <w:spacing w:after="0" w:line="240" w:lineRule="auto"/>
              <w:rPr>
                <w:rFonts w:ascii="Arial Narrow" w:hAnsi="Arial Narrow"/>
                <w:sz w:val="20"/>
                <w:szCs w:val="20"/>
              </w:rPr>
            </w:pPr>
            <w:r>
              <w:rPr>
                <w:rFonts w:ascii="Arial Narrow" w:hAnsi="Arial Narrow"/>
                <w:sz w:val="20"/>
                <w:szCs w:val="20"/>
              </w:rPr>
              <w:t>Assignment does not use reliable sources and/or use a sufficient number of sources.  The source material was not used effectively.  Inability to distinguish between writer’s ideas and source’s ideas indicates plagiarism.</w:t>
            </w:r>
          </w:p>
        </w:tc>
        <w:tc>
          <w:tcPr>
            <w:tcW w:w="1890" w:type="dxa"/>
          </w:tcPr>
          <w:p>
            <w:pPr>
              <w:spacing w:after="0" w:line="240" w:lineRule="auto"/>
              <w:rPr>
                <w:rFonts w:ascii="Arial Narrow" w:hAnsi="Arial Narrow"/>
                <w:sz w:val="20"/>
                <w:szCs w:val="20"/>
              </w:rPr>
            </w:pPr>
            <w:r>
              <w:rPr>
                <w:rFonts w:ascii="Arial Narrow" w:hAnsi="Arial Narrow"/>
                <w:sz w:val="20"/>
                <w:szCs w:val="20"/>
              </w:rPr>
              <w:t>Most sources are reliable and are incorporated adequately within the assignment.</w:t>
            </w:r>
          </w:p>
        </w:tc>
        <w:tc>
          <w:tcPr>
            <w:tcW w:w="2250" w:type="dxa"/>
          </w:tcPr>
          <w:p>
            <w:pPr>
              <w:spacing w:after="0" w:line="240" w:lineRule="auto"/>
              <w:rPr>
                <w:rFonts w:ascii="Arial Narrow" w:hAnsi="Arial Narrow"/>
                <w:sz w:val="20"/>
                <w:szCs w:val="20"/>
              </w:rPr>
            </w:pPr>
            <w:r>
              <w:rPr>
                <w:rFonts w:ascii="Arial Narrow" w:hAnsi="Arial Narrow"/>
                <w:sz w:val="20"/>
                <w:szCs w:val="20"/>
              </w:rPr>
              <w:t>Assignment incorporates excellent sources of information clearly and effectively.</w:t>
            </w:r>
          </w:p>
        </w:tc>
        <w:tc>
          <w:tcPr>
            <w:tcW w:w="810" w:type="dxa"/>
          </w:tcPr>
          <w:p>
            <w:pPr>
              <w:spacing w:after="0" w:line="240" w:lineRule="auto"/>
              <w:rPr>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1530" w:type="dxa"/>
          </w:tcPr>
          <w:p>
            <w:pPr>
              <w:spacing w:after="0" w:line="240" w:lineRule="auto"/>
              <w:rPr>
                <w:rFonts w:ascii="Arial Narrow" w:hAnsi="Arial Narrow"/>
                <w:b/>
                <w:sz w:val="20"/>
                <w:szCs w:val="20"/>
              </w:rPr>
            </w:pPr>
            <w:r>
              <w:rPr>
                <w:rFonts w:ascii="Arial Narrow" w:hAnsi="Arial Narrow"/>
                <w:b/>
                <w:sz w:val="20"/>
                <w:szCs w:val="20"/>
              </w:rPr>
              <w:t>Documentation</w:t>
            </w:r>
          </w:p>
        </w:tc>
        <w:tc>
          <w:tcPr>
            <w:tcW w:w="3780" w:type="dxa"/>
            <w:gridSpan w:val="2"/>
            <w:shd w:val="clear" w:color="auto" w:fill="D8D8D8" w:themeFill="background1" w:themeFillShade="D9"/>
          </w:tcPr>
          <w:p>
            <w:pPr>
              <w:spacing w:after="0" w:line="240" w:lineRule="auto"/>
              <w:rPr>
                <w:rFonts w:ascii="Arial Narrow" w:hAnsi="Arial Narrow"/>
                <w:sz w:val="20"/>
                <w:szCs w:val="20"/>
              </w:rPr>
            </w:pPr>
            <w:r>
              <w:rPr>
                <w:rFonts w:ascii="Arial Narrow" w:hAnsi="Arial Narrow"/>
                <w:sz w:val="20"/>
                <w:szCs w:val="20"/>
              </w:rPr>
              <w:t>Assignment does not document sources clearly and correctly.  The style of documentation is incorrect.</w:t>
            </w:r>
          </w:p>
        </w:tc>
        <w:tc>
          <w:tcPr>
            <w:tcW w:w="1890" w:type="dxa"/>
          </w:tcPr>
          <w:p>
            <w:pPr>
              <w:spacing w:after="0" w:line="240" w:lineRule="auto"/>
              <w:rPr>
                <w:rFonts w:ascii="Arial Narrow" w:hAnsi="Arial Narrow"/>
                <w:sz w:val="20"/>
                <w:szCs w:val="20"/>
              </w:rPr>
            </w:pPr>
            <w:r>
              <w:rPr>
                <w:rFonts w:ascii="Arial Narrow" w:hAnsi="Arial Narrow"/>
                <w:sz w:val="20"/>
                <w:szCs w:val="20"/>
              </w:rPr>
              <w:t>Documentation is correctly placed; few errors in citation style.</w:t>
            </w:r>
          </w:p>
        </w:tc>
        <w:tc>
          <w:tcPr>
            <w:tcW w:w="2250" w:type="dxa"/>
          </w:tcPr>
          <w:p>
            <w:pPr>
              <w:spacing w:after="0" w:line="240" w:lineRule="auto"/>
              <w:rPr>
                <w:rFonts w:ascii="Arial Narrow" w:hAnsi="Arial Narrow"/>
                <w:sz w:val="20"/>
                <w:szCs w:val="20"/>
              </w:rPr>
            </w:pPr>
            <w:r>
              <w:rPr>
                <w:rFonts w:ascii="Arial Narrow" w:hAnsi="Arial Narrow"/>
                <w:sz w:val="20"/>
                <w:szCs w:val="20"/>
              </w:rPr>
              <w:t>Sources are correctly attributed.  Assignment demonstrates mastery of in-text documentation and works cited format.</w:t>
            </w:r>
          </w:p>
        </w:tc>
        <w:tc>
          <w:tcPr>
            <w:tcW w:w="810" w:type="dxa"/>
          </w:tcPr>
          <w:p>
            <w:pPr>
              <w:spacing w:after="0" w:line="240" w:lineRule="auto"/>
              <w:rPr>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1530" w:type="dxa"/>
          </w:tcPr>
          <w:p>
            <w:pPr>
              <w:spacing w:after="0" w:line="240" w:lineRule="auto"/>
              <w:rPr>
                <w:rFonts w:ascii="Arial Narrow" w:hAnsi="Arial Narrow"/>
                <w:b/>
                <w:sz w:val="20"/>
                <w:szCs w:val="20"/>
              </w:rPr>
            </w:pPr>
          </w:p>
        </w:tc>
        <w:tc>
          <w:tcPr>
            <w:tcW w:w="2070" w:type="dxa"/>
            <w:shd w:val="clear" w:color="auto" w:fill="3DFF45"/>
          </w:tcPr>
          <w:p>
            <w:pPr>
              <w:spacing w:after="0" w:line="240" w:lineRule="auto"/>
              <w:rPr>
                <w:b/>
                <w:sz w:val="20"/>
                <w:szCs w:val="20"/>
              </w:rPr>
            </w:pPr>
            <w:r>
              <w:rPr>
                <w:b/>
                <w:sz w:val="20"/>
                <w:szCs w:val="20"/>
              </w:rPr>
              <w:t>Unsatisfactory: 0-7</w:t>
            </w:r>
          </w:p>
        </w:tc>
        <w:tc>
          <w:tcPr>
            <w:tcW w:w="1710" w:type="dxa"/>
            <w:shd w:val="clear" w:color="auto" w:fill="3DFF45"/>
          </w:tcPr>
          <w:p>
            <w:pPr>
              <w:spacing w:after="0" w:line="240" w:lineRule="auto"/>
              <w:rPr>
                <w:b/>
                <w:sz w:val="20"/>
                <w:szCs w:val="20"/>
              </w:rPr>
            </w:pPr>
            <w:r>
              <w:rPr>
                <w:b/>
                <w:sz w:val="20"/>
                <w:szCs w:val="20"/>
              </w:rPr>
              <w:t>Satisfactory: 8-9</w:t>
            </w:r>
          </w:p>
        </w:tc>
        <w:tc>
          <w:tcPr>
            <w:tcW w:w="1890" w:type="dxa"/>
            <w:shd w:val="clear" w:color="auto" w:fill="3DFF45"/>
          </w:tcPr>
          <w:p>
            <w:pPr>
              <w:spacing w:after="0" w:line="240" w:lineRule="auto"/>
              <w:rPr>
                <w:b/>
                <w:sz w:val="20"/>
                <w:szCs w:val="20"/>
              </w:rPr>
            </w:pPr>
            <w:r>
              <w:rPr>
                <w:b/>
                <w:sz w:val="20"/>
                <w:szCs w:val="20"/>
              </w:rPr>
              <w:t>Proficient: 10</w:t>
            </w:r>
          </w:p>
        </w:tc>
        <w:tc>
          <w:tcPr>
            <w:tcW w:w="2250" w:type="dxa"/>
            <w:shd w:val="clear" w:color="auto" w:fill="3DFF45"/>
          </w:tcPr>
          <w:p>
            <w:pPr>
              <w:spacing w:after="0" w:line="240" w:lineRule="auto"/>
              <w:rPr>
                <w:b/>
                <w:sz w:val="20"/>
                <w:szCs w:val="20"/>
              </w:rPr>
            </w:pPr>
            <w:r>
              <w:rPr>
                <w:b/>
                <w:sz w:val="20"/>
                <w:szCs w:val="20"/>
              </w:rPr>
              <w:t>Exemplary: 11-12</w:t>
            </w:r>
          </w:p>
        </w:tc>
        <w:tc>
          <w:tcPr>
            <w:tcW w:w="810" w:type="dxa"/>
          </w:tcPr>
          <w:p>
            <w:pPr>
              <w:spacing w:after="0" w:line="240" w:lineRule="auto"/>
              <w:rPr>
                <w:b/>
                <w:sz w:val="20"/>
                <w:szCs w:val="20"/>
              </w:rPr>
            </w:pPr>
            <w:r>
              <w:rPr>
                <w:b/>
                <w:sz w:val="20"/>
                <w:szCs w:val="20"/>
              </w:rPr>
              <w:t xml:space="preserve">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1530" w:type="dxa"/>
          </w:tcPr>
          <w:p>
            <w:pPr>
              <w:spacing w:after="0" w:line="240" w:lineRule="auto"/>
              <w:rPr>
                <w:rFonts w:ascii="Arial Narrow" w:hAnsi="Arial Narrow"/>
                <w:b/>
                <w:sz w:val="20"/>
                <w:szCs w:val="20"/>
              </w:rPr>
            </w:pPr>
            <w:r>
              <w:rPr>
                <w:rFonts w:ascii="Arial Narrow" w:hAnsi="Arial Narrow"/>
                <w:b/>
                <w:sz w:val="20"/>
                <w:szCs w:val="20"/>
              </w:rPr>
              <w:t>Thesis and /or Purpose</w:t>
            </w:r>
          </w:p>
          <w:p>
            <w:pPr>
              <w:spacing w:after="0" w:line="240" w:lineRule="auto"/>
              <w:rPr>
                <w:rFonts w:ascii="Arial Narrow" w:hAnsi="Arial Narrow"/>
                <w:b/>
                <w:sz w:val="20"/>
                <w:szCs w:val="20"/>
              </w:rPr>
            </w:pPr>
          </w:p>
          <w:p>
            <w:pPr>
              <w:spacing w:after="0" w:line="240" w:lineRule="auto"/>
              <w:rPr>
                <w:rFonts w:ascii="Arial Narrow" w:hAnsi="Arial Narrow"/>
                <w:b/>
                <w:sz w:val="20"/>
                <w:szCs w:val="20"/>
              </w:rPr>
            </w:pPr>
          </w:p>
          <w:p>
            <w:pPr>
              <w:spacing w:after="0" w:line="240" w:lineRule="auto"/>
              <w:rPr>
                <w:rFonts w:ascii="Arial Narrow" w:hAnsi="Arial Narrow"/>
                <w:b/>
                <w:sz w:val="20"/>
                <w:szCs w:val="20"/>
              </w:rPr>
            </w:pPr>
          </w:p>
        </w:tc>
        <w:tc>
          <w:tcPr>
            <w:tcW w:w="2070" w:type="dxa"/>
          </w:tcPr>
          <w:p>
            <w:pPr>
              <w:spacing w:after="0" w:line="240" w:lineRule="auto"/>
              <w:rPr>
                <w:rFonts w:ascii="Arial Narrow" w:hAnsi="Arial Narrow"/>
                <w:sz w:val="20"/>
                <w:szCs w:val="20"/>
              </w:rPr>
            </w:pPr>
            <w:r>
              <w:rPr>
                <w:rFonts w:ascii="Arial Narrow" w:hAnsi="Arial Narrow"/>
                <w:sz w:val="20"/>
                <w:szCs w:val="20"/>
              </w:rPr>
              <w:t>Assignment does not contain an identifiable purpose or thesis.</w:t>
            </w:r>
          </w:p>
        </w:tc>
        <w:tc>
          <w:tcPr>
            <w:tcW w:w="1710" w:type="dxa"/>
          </w:tcPr>
          <w:p>
            <w:pPr>
              <w:spacing w:after="0" w:line="240" w:lineRule="auto"/>
              <w:rPr>
                <w:rFonts w:ascii="Arial Narrow" w:hAnsi="Arial Narrow"/>
                <w:sz w:val="20"/>
                <w:szCs w:val="20"/>
              </w:rPr>
            </w:pPr>
            <w:r>
              <w:rPr>
                <w:rFonts w:ascii="Arial Narrow" w:hAnsi="Arial Narrow"/>
                <w:sz w:val="20"/>
                <w:szCs w:val="20"/>
              </w:rPr>
              <w:t>Assignment clearly expresses purpose, and develops consistently.</w:t>
            </w:r>
          </w:p>
        </w:tc>
        <w:tc>
          <w:tcPr>
            <w:tcW w:w="1890" w:type="dxa"/>
          </w:tcPr>
          <w:p>
            <w:pPr>
              <w:spacing w:after="0" w:line="240" w:lineRule="auto"/>
              <w:rPr>
                <w:rFonts w:ascii="Arial Narrow" w:hAnsi="Arial Narrow"/>
                <w:sz w:val="20"/>
                <w:szCs w:val="20"/>
              </w:rPr>
            </w:pPr>
            <w:r>
              <w:rPr>
                <w:rFonts w:ascii="Arial Narrow" w:hAnsi="Arial Narrow"/>
                <w:sz w:val="20"/>
                <w:szCs w:val="20"/>
              </w:rPr>
              <w:t>Assignment has a strong focus, consistent with the assignment. Thesis is clearly stated and defended.</w:t>
            </w:r>
          </w:p>
        </w:tc>
        <w:tc>
          <w:tcPr>
            <w:tcW w:w="2250" w:type="dxa"/>
          </w:tcPr>
          <w:p>
            <w:pPr>
              <w:spacing w:after="0" w:line="240" w:lineRule="auto"/>
              <w:rPr>
                <w:rFonts w:ascii="Arial Narrow" w:hAnsi="Arial Narrow"/>
                <w:sz w:val="20"/>
                <w:szCs w:val="20"/>
              </w:rPr>
            </w:pPr>
            <w:r>
              <w:rPr>
                <w:rFonts w:ascii="Arial Narrow" w:hAnsi="Arial Narrow"/>
                <w:sz w:val="20"/>
                <w:szCs w:val="20"/>
              </w:rPr>
              <w:t>Assignment demonstrates mastery in conveying a sense of purpose; thesis is strategically placed.</w:t>
            </w:r>
          </w:p>
        </w:tc>
        <w:tc>
          <w:tcPr>
            <w:tcW w:w="810" w:type="dxa"/>
          </w:tcPr>
          <w:p>
            <w:pPr>
              <w:spacing w:after="0" w:line="240" w:lineRule="auto"/>
              <w:rPr>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1530" w:type="dxa"/>
          </w:tcPr>
          <w:p>
            <w:pPr>
              <w:spacing w:after="0" w:line="240" w:lineRule="auto"/>
              <w:rPr>
                <w:rFonts w:ascii="Arial Narrow" w:hAnsi="Arial Narrow"/>
                <w:b/>
                <w:sz w:val="20"/>
                <w:szCs w:val="20"/>
              </w:rPr>
            </w:pPr>
            <w:r>
              <w:rPr>
                <w:rFonts w:ascii="Arial Narrow" w:hAnsi="Arial Narrow"/>
                <w:b/>
                <w:sz w:val="20"/>
                <w:szCs w:val="20"/>
              </w:rPr>
              <w:t>Format, Organization, Polish, and</w:t>
            </w:r>
          </w:p>
          <w:p>
            <w:pPr>
              <w:spacing w:after="0" w:line="240" w:lineRule="auto"/>
              <w:rPr>
                <w:rFonts w:ascii="Arial Narrow" w:hAnsi="Arial Narrow"/>
                <w:b/>
                <w:sz w:val="20"/>
                <w:szCs w:val="20"/>
              </w:rPr>
            </w:pPr>
            <w:r>
              <w:rPr>
                <w:rFonts w:ascii="Arial Narrow" w:hAnsi="Arial Narrow"/>
                <w:b/>
                <w:sz w:val="20"/>
                <w:szCs w:val="20"/>
              </w:rPr>
              <w:t>Professionalism</w:t>
            </w:r>
          </w:p>
          <w:p>
            <w:pPr>
              <w:spacing w:after="0" w:line="240" w:lineRule="auto"/>
              <w:rPr>
                <w:rFonts w:ascii="Arial Narrow" w:hAnsi="Arial Narrow"/>
                <w:b/>
                <w:sz w:val="20"/>
                <w:szCs w:val="20"/>
              </w:rPr>
            </w:pPr>
          </w:p>
          <w:p>
            <w:pPr>
              <w:spacing w:after="0" w:line="240" w:lineRule="auto"/>
              <w:rPr>
                <w:rFonts w:ascii="Arial Narrow" w:hAnsi="Arial Narrow"/>
                <w:b/>
                <w:sz w:val="20"/>
                <w:szCs w:val="20"/>
              </w:rPr>
            </w:pPr>
          </w:p>
        </w:tc>
        <w:tc>
          <w:tcPr>
            <w:tcW w:w="2070" w:type="dxa"/>
          </w:tcPr>
          <w:p>
            <w:pPr>
              <w:spacing w:after="0" w:line="240" w:lineRule="auto"/>
              <w:rPr>
                <w:rFonts w:ascii="Arial Narrow" w:hAnsi="Arial Narrow"/>
                <w:sz w:val="20"/>
                <w:szCs w:val="20"/>
              </w:rPr>
            </w:pPr>
            <w:r>
              <w:rPr>
                <w:rFonts w:ascii="Arial Narrow" w:hAnsi="Arial Narrow"/>
                <w:sz w:val="20"/>
                <w:szCs w:val="20"/>
              </w:rPr>
              <w:t>Document does not demonstrate awareness of proper format or professionalism in presentation.</w:t>
            </w:r>
          </w:p>
        </w:tc>
        <w:tc>
          <w:tcPr>
            <w:tcW w:w="1710" w:type="dxa"/>
          </w:tcPr>
          <w:p>
            <w:pPr>
              <w:spacing w:after="0" w:line="240" w:lineRule="auto"/>
              <w:rPr>
                <w:rFonts w:ascii="Arial Narrow" w:hAnsi="Arial Narrow"/>
                <w:sz w:val="20"/>
                <w:szCs w:val="20"/>
              </w:rPr>
            </w:pPr>
            <w:r>
              <w:rPr>
                <w:rFonts w:ascii="Arial Narrow" w:hAnsi="Arial Narrow"/>
                <w:sz w:val="20"/>
                <w:szCs w:val="20"/>
              </w:rPr>
              <w:t xml:space="preserve">Format is emerging, although professionalism may not be fully achieved. </w:t>
            </w:r>
          </w:p>
        </w:tc>
        <w:tc>
          <w:tcPr>
            <w:tcW w:w="1890" w:type="dxa"/>
          </w:tcPr>
          <w:p>
            <w:pPr>
              <w:spacing w:after="0" w:line="240" w:lineRule="auto"/>
              <w:rPr>
                <w:rFonts w:ascii="Arial Narrow" w:hAnsi="Arial Narrow"/>
                <w:sz w:val="20"/>
                <w:szCs w:val="20"/>
              </w:rPr>
            </w:pPr>
            <w:r>
              <w:rPr>
                <w:rFonts w:ascii="Arial Narrow" w:hAnsi="Arial Narrow"/>
                <w:sz w:val="20"/>
                <w:szCs w:val="20"/>
              </w:rPr>
              <w:t>Assignment displays attention to format, readability, and presentation strategies.</w:t>
            </w:r>
          </w:p>
        </w:tc>
        <w:tc>
          <w:tcPr>
            <w:tcW w:w="2250" w:type="dxa"/>
          </w:tcPr>
          <w:p>
            <w:pPr>
              <w:spacing w:after="0" w:line="240" w:lineRule="auto"/>
              <w:rPr>
                <w:rFonts w:ascii="Arial Narrow" w:hAnsi="Arial Narrow"/>
                <w:sz w:val="20"/>
                <w:szCs w:val="20"/>
              </w:rPr>
            </w:pPr>
            <w:r>
              <w:rPr>
                <w:rFonts w:ascii="Arial Narrow" w:hAnsi="Arial Narrow"/>
                <w:sz w:val="20"/>
                <w:szCs w:val="20"/>
              </w:rPr>
              <w:t>Assignment demonstrates mastery in format, professionalism, attention to style and specific requirements of a research essay.</w:t>
            </w:r>
          </w:p>
        </w:tc>
        <w:tc>
          <w:tcPr>
            <w:tcW w:w="810" w:type="dxa"/>
          </w:tcPr>
          <w:p>
            <w:pPr>
              <w:spacing w:after="0" w:line="240" w:lineRule="auto"/>
              <w:rPr>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1530" w:type="dxa"/>
          </w:tcPr>
          <w:p>
            <w:pPr>
              <w:spacing w:after="0" w:line="240" w:lineRule="auto"/>
              <w:rPr>
                <w:rFonts w:ascii="Arial Narrow" w:hAnsi="Arial Narrow"/>
                <w:b/>
                <w:sz w:val="20"/>
                <w:szCs w:val="20"/>
              </w:rPr>
            </w:pPr>
            <w:r>
              <w:rPr>
                <w:rFonts w:ascii="Arial Narrow" w:hAnsi="Arial Narrow"/>
                <w:b/>
                <w:sz w:val="20"/>
                <w:szCs w:val="20"/>
              </w:rPr>
              <w:t>Audience Awareness</w:t>
            </w:r>
          </w:p>
          <w:p>
            <w:pPr>
              <w:spacing w:after="0" w:line="240" w:lineRule="auto"/>
              <w:rPr>
                <w:rFonts w:ascii="Arial Narrow" w:hAnsi="Arial Narrow"/>
                <w:b/>
                <w:sz w:val="20"/>
                <w:szCs w:val="20"/>
              </w:rPr>
            </w:pPr>
          </w:p>
          <w:p>
            <w:pPr>
              <w:spacing w:after="0" w:line="240" w:lineRule="auto"/>
              <w:rPr>
                <w:rFonts w:ascii="Arial Narrow" w:hAnsi="Arial Narrow"/>
                <w:b/>
                <w:sz w:val="20"/>
                <w:szCs w:val="20"/>
              </w:rPr>
            </w:pPr>
          </w:p>
          <w:p>
            <w:pPr>
              <w:spacing w:after="0" w:line="240" w:lineRule="auto"/>
              <w:rPr>
                <w:rFonts w:ascii="Arial Narrow" w:hAnsi="Arial Narrow"/>
                <w:b/>
                <w:sz w:val="20"/>
                <w:szCs w:val="20"/>
              </w:rPr>
            </w:pPr>
          </w:p>
        </w:tc>
        <w:tc>
          <w:tcPr>
            <w:tcW w:w="2070" w:type="dxa"/>
          </w:tcPr>
          <w:p>
            <w:pPr>
              <w:spacing w:after="0" w:line="240" w:lineRule="auto"/>
              <w:rPr>
                <w:rFonts w:ascii="Arial Narrow" w:hAnsi="Arial Narrow"/>
                <w:sz w:val="20"/>
                <w:szCs w:val="20"/>
              </w:rPr>
            </w:pPr>
            <w:r>
              <w:rPr>
                <w:rFonts w:ascii="Arial Narrow" w:hAnsi="Arial Narrow"/>
                <w:sz w:val="20"/>
                <w:szCs w:val="20"/>
              </w:rPr>
              <w:t>Assignment contains stereotyping and insensitivity to audience. Proofreading problems are evident.</w:t>
            </w:r>
          </w:p>
        </w:tc>
        <w:tc>
          <w:tcPr>
            <w:tcW w:w="1710" w:type="dxa"/>
          </w:tcPr>
          <w:p>
            <w:pPr>
              <w:spacing w:after="0" w:line="240" w:lineRule="auto"/>
              <w:rPr>
                <w:rFonts w:ascii="Arial Narrow" w:hAnsi="Arial Narrow"/>
                <w:sz w:val="20"/>
                <w:szCs w:val="20"/>
              </w:rPr>
            </w:pPr>
            <w:r>
              <w:rPr>
                <w:rFonts w:ascii="Arial Narrow" w:hAnsi="Arial Narrow"/>
                <w:sz w:val="20"/>
                <w:szCs w:val="20"/>
              </w:rPr>
              <w:t xml:space="preserve">Assignment displays awareness of audience and some evidence that language and style are audience- centered. </w:t>
            </w:r>
          </w:p>
        </w:tc>
        <w:tc>
          <w:tcPr>
            <w:tcW w:w="1890" w:type="dxa"/>
          </w:tcPr>
          <w:p>
            <w:pPr>
              <w:spacing w:after="0" w:line="240" w:lineRule="auto"/>
              <w:rPr>
                <w:rFonts w:ascii="Arial Narrow" w:hAnsi="Arial Narrow"/>
                <w:sz w:val="20"/>
                <w:szCs w:val="20"/>
              </w:rPr>
            </w:pPr>
            <w:r>
              <w:rPr>
                <w:rFonts w:ascii="Arial Narrow" w:hAnsi="Arial Narrow"/>
                <w:sz w:val="20"/>
                <w:szCs w:val="20"/>
              </w:rPr>
              <w:t>Assignment displays sensitivity to audience needs and selects appropriate rhetorical strategy and transitions.</w:t>
            </w:r>
          </w:p>
        </w:tc>
        <w:tc>
          <w:tcPr>
            <w:tcW w:w="2250" w:type="dxa"/>
          </w:tcPr>
          <w:p>
            <w:pPr>
              <w:spacing w:after="0" w:line="240" w:lineRule="auto"/>
              <w:rPr>
                <w:rFonts w:ascii="Arial Narrow" w:hAnsi="Arial Narrow"/>
                <w:sz w:val="20"/>
                <w:szCs w:val="20"/>
              </w:rPr>
            </w:pPr>
            <w:r>
              <w:rPr>
                <w:rFonts w:ascii="Arial Narrow" w:hAnsi="Arial Narrow"/>
                <w:sz w:val="20"/>
                <w:szCs w:val="20"/>
              </w:rPr>
              <w:t>Writing displays mastery in creating transitions and conclusions. It strongly addresses the needs of the audience in critical thinking and anticipating objections with thoughtful content.</w:t>
            </w:r>
          </w:p>
        </w:tc>
        <w:tc>
          <w:tcPr>
            <w:tcW w:w="810" w:type="dxa"/>
          </w:tcPr>
          <w:p>
            <w:pPr>
              <w:spacing w:after="0" w:line="240" w:lineRule="auto"/>
              <w:rPr>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1530" w:type="dxa"/>
          </w:tcPr>
          <w:p>
            <w:pPr>
              <w:spacing w:after="0" w:line="240" w:lineRule="auto"/>
              <w:rPr>
                <w:rFonts w:ascii="Arial Narrow" w:hAnsi="Arial Narrow"/>
                <w:b/>
                <w:sz w:val="20"/>
                <w:szCs w:val="20"/>
              </w:rPr>
            </w:pPr>
            <w:r>
              <w:rPr>
                <w:rFonts w:ascii="Arial Narrow" w:hAnsi="Arial Narrow"/>
                <w:b/>
                <w:sz w:val="20"/>
                <w:szCs w:val="20"/>
              </w:rPr>
              <w:t>Support, Development,</w:t>
            </w:r>
          </w:p>
          <w:p>
            <w:pPr>
              <w:spacing w:after="0" w:line="240" w:lineRule="auto"/>
              <w:rPr>
                <w:rFonts w:ascii="Arial Narrow" w:hAnsi="Arial Narrow"/>
                <w:b/>
                <w:sz w:val="20"/>
                <w:szCs w:val="20"/>
              </w:rPr>
            </w:pPr>
            <w:r>
              <w:rPr>
                <w:rFonts w:ascii="Arial Narrow" w:hAnsi="Arial Narrow"/>
                <w:b/>
                <w:sz w:val="20"/>
                <w:szCs w:val="20"/>
              </w:rPr>
              <w:t>And Critical Thinking</w:t>
            </w:r>
          </w:p>
          <w:p>
            <w:pPr>
              <w:spacing w:after="0" w:line="240" w:lineRule="auto"/>
              <w:rPr>
                <w:rFonts w:ascii="Arial Narrow" w:hAnsi="Arial Narrow"/>
                <w:b/>
                <w:sz w:val="20"/>
                <w:szCs w:val="20"/>
              </w:rPr>
            </w:pPr>
          </w:p>
          <w:p>
            <w:pPr>
              <w:spacing w:after="0" w:line="240" w:lineRule="auto"/>
              <w:rPr>
                <w:rFonts w:ascii="Arial Narrow" w:hAnsi="Arial Narrow"/>
                <w:b/>
                <w:sz w:val="20"/>
                <w:szCs w:val="20"/>
              </w:rPr>
            </w:pPr>
          </w:p>
        </w:tc>
        <w:tc>
          <w:tcPr>
            <w:tcW w:w="2070" w:type="dxa"/>
          </w:tcPr>
          <w:p>
            <w:pPr>
              <w:spacing w:after="0" w:line="240" w:lineRule="auto"/>
              <w:rPr>
                <w:rFonts w:ascii="Arial Narrow" w:hAnsi="Arial Narrow"/>
                <w:sz w:val="20"/>
                <w:szCs w:val="20"/>
              </w:rPr>
            </w:pPr>
            <w:r>
              <w:rPr>
                <w:rFonts w:ascii="Arial Narrow" w:hAnsi="Arial Narrow"/>
                <w:sz w:val="20"/>
                <w:szCs w:val="20"/>
              </w:rPr>
              <w:t>Assignment lacks internal logic or leaps to conclusions. More research and support are needed. Writing does not investigate deeply.</w:t>
            </w:r>
          </w:p>
        </w:tc>
        <w:tc>
          <w:tcPr>
            <w:tcW w:w="1710" w:type="dxa"/>
          </w:tcPr>
          <w:p>
            <w:pPr>
              <w:spacing w:after="0" w:line="240" w:lineRule="auto"/>
              <w:rPr>
                <w:rFonts w:ascii="Arial Narrow" w:hAnsi="Arial Narrow"/>
                <w:sz w:val="20"/>
                <w:szCs w:val="20"/>
              </w:rPr>
            </w:pPr>
            <w:r>
              <w:rPr>
                <w:rFonts w:ascii="Arial Narrow" w:hAnsi="Arial Narrow"/>
                <w:sz w:val="20"/>
                <w:szCs w:val="20"/>
              </w:rPr>
              <w:t>Assignment displays internal logic and develops ideas. Conclusions may be partially unsupported.</w:t>
            </w:r>
          </w:p>
          <w:p>
            <w:pPr>
              <w:spacing w:after="0" w:line="240" w:lineRule="auto"/>
              <w:rPr>
                <w:rFonts w:ascii="Arial Narrow" w:hAnsi="Arial Narrow"/>
                <w:sz w:val="20"/>
                <w:szCs w:val="20"/>
              </w:rPr>
            </w:pPr>
            <w:r>
              <w:rPr>
                <w:rFonts w:ascii="Arial Narrow" w:hAnsi="Arial Narrow"/>
                <w:sz w:val="20"/>
                <w:szCs w:val="20"/>
              </w:rPr>
              <w:t>Secondary research is present if needed.</w:t>
            </w:r>
          </w:p>
        </w:tc>
        <w:tc>
          <w:tcPr>
            <w:tcW w:w="1890" w:type="dxa"/>
          </w:tcPr>
          <w:p>
            <w:pPr>
              <w:spacing w:after="0" w:line="240" w:lineRule="auto"/>
              <w:rPr>
                <w:rFonts w:ascii="Arial Narrow" w:hAnsi="Arial Narrow"/>
                <w:sz w:val="20"/>
                <w:szCs w:val="20"/>
              </w:rPr>
            </w:pPr>
            <w:r>
              <w:rPr>
                <w:rFonts w:ascii="Arial Narrow" w:hAnsi="Arial Narrow"/>
                <w:sz w:val="20"/>
                <w:szCs w:val="20"/>
              </w:rPr>
              <w:t>Assignment uses clear logical examples, diverse sources of information, evaluates, analyzes and presents sources clearly; research and support are relevant.</w:t>
            </w:r>
          </w:p>
        </w:tc>
        <w:tc>
          <w:tcPr>
            <w:tcW w:w="2250" w:type="dxa"/>
          </w:tcPr>
          <w:p>
            <w:pPr>
              <w:spacing w:after="0" w:line="240" w:lineRule="auto"/>
              <w:rPr>
                <w:rFonts w:ascii="Arial Narrow" w:hAnsi="Arial Narrow"/>
                <w:sz w:val="20"/>
                <w:szCs w:val="20"/>
              </w:rPr>
            </w:pPr>
            <w:r>
              <w:rPr>
                <w:rFonts w:ascii="Arial Narrow" w:hAnsi="Arial Narrow"/>
                <w:sz w:val="20"/>
                <w:szCs w:val="20"/>
              </w:rPr>
              <w:t>Assignment uses interesting, relevant research; ideas are well supported and analyzed; investigation is compelling and ideas are explored and presented critically.</w:t>
            </w:r>
          </w:p>
        </w:tc>
        <w:tc>
          <w:tcPr>
            <w:tcW w:w="810" w:type="dxa"/>
          </w:tcPr>
          <w:p>
            <w:pPr>
              <w:spacing w:after="0" w:line="240" w:lineRule="auto"/>
              <w:rPr>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1530" w:type="dxa"/>
          </w:tcPr>
          <w:p>
            <w:pPr>
              <w:spacing w:after="0" w:line="240" w:lineRule="auto"/>
              <w:rPr>
                <w:rFonts w:ascii="Arial Narrow" w:hAnsi="Arial Narrow"/>
                <w:b/>
                <w:sz w:val="20"/>
                <w:szCs w:val="20"/>
              </w:rPr>
            </w:pPr>
            <w:r>
              <w:rPr>
                <w:rFonts w:ascii="Arial Narrow" w:hAnsi="Arial Narrow"/>
                <w:b/>
                <w:sz w:val="20"/>
                <w:szCs w:val="20"/>
              </w:rPr>
              <w:t>Style and Language</w:t>
            </w:r>
          </w:p>
          <w:p>
            <w:pPr>
              <w:spacing w:after="0" w:line="240" w:lineRule="auto"/>
              <w:rPr>
                <w:rFonts w:ascii="Arial Narrow" w:hAnsi="Arial Narrow"/>
                <w:b/>
                <w:sz w:val="20"/>
                <w:szCs w:val="20"/>
              </w:rPr>
            </w:pPr>
          </w:p>
          <w:p>
            <w:pPr>
              <w:spacing w:after="0" w:line="240" w:lineRule="auto"/>
              <w:rPr>
                <w:rFonts w:ascii="Arial Narrow" w:hAnsi="Arial Narrow"/>
                <w:b/>
                <w:sz w:val="20"/>
                <w:szCs w:val="20"/>
              </w:rPr>
            </w:pPr>
          </w:p>
          <w:p>
            <w:pPr>
              <w:spacing w:after="0" w:line="240" w:lineRule="auto"/>
              <w:rPr>
                <w:rFonts w:ascii="Arial Narrow" w:hAnsi="Arial Narrow"/>
                <w:b/>
                <w:sz w:val="20"/>
                <w:szCs w:val="20"/>
              </w:rPr>
            </w:pPr>
          </w:p>
        </w:tc>
        <w:tc>
          <w:tcPr>
            <w:tcW w:w="2070" w:type="dxa"/>
          </w:tcPr>
          <w:p>
            <w:pPr>
              <w:spacing w:after="0" w:line="240" w:lineRule="auto"/>
              <w:rPr>
                <w:rFonts w:ascii="Arial Narrow" w:hAnsi="Arial Narrow"/>
                <w:sz w:val="20"/>
                <w:szCs w:val="20"/>
              </w:rPr>
            </w:pPr>
            <w:r>
              <w:rPr>
                <w:rFonts w:ascii="Arial Narrow" w:hAnsi="Arial Narrow"/>
                <w:sz w:val="20"/>
                <w:szCs w:val="20"/>
              </w:rPr>
              <w:t>Assignment displays confusing or inappropriate language. Errors in wording and sentence structure.</w:t>
            </w:r>
          </w:p>
        </w:tc>
        <w:tc>
          <w:tcPr>
            <w:tcW w:w="1710" w:type="dxa"/>
          </w:tcPr>
          <w:p>
            <w:pPr>
              <w:spacing w:after="0" w:line="240" w:lineRule="auto"/>
              <w:rPr>
                <w:rFonts w:ascii="Arial Narrow" w:hAnsi="Arial Narrow"/>
                <w:sz w:val="20"/>
                <w:szCs w:val="20"/>
              </w:rPr>
            </w:pPr>
            <w:r>
              <w:rPr>
                <w:rFonts w:ascii="Arial Narrow" w:hAnsi="Arial Narrow"/>
                <w:sz w:val="20"/>
                <w:szCs w:val="20"/>
              </w:rPr>
              <w:t>Assignment contains few errors in style and usage.</w:t>
            </w:r>
          </w:p>
        </w:tc>
        <w:tc>
          <w:tcPr>
            <w:tcW w:w="1890" w:type="dxa"/>
          </w:tcPr>
          <w:p>
            <w:pPr>
              <w:spacing w:after="0" w:line="240" w:lineRule="auto"/>
              <w:rPr>
                <w:rFonts w:ascii="Arial Narrow" w:hAnsi="Arial Narrow"/>
                <w:sz w:val="20"/>
                <w:szCs w:val="20"/>
              </w:rPr>
            </w:pPr>
            <w:r>
              <w:rPr>
                <w:rFonts w:ascii="Arial Narrow" w:hAnsi="Arial Narrow"/>
                <w:sz w:val="20"/>
                <w:szCs w:val="20"/>
              </w:rPr>
              <w:t>Assignments displays clarity, correctness, conciseness, has appropriate wording and readability.</w:t>
            </w:r>
          </w:p>
        </w:tc>
        <w:tc>
          <w:tcPr>
            <w:tcW w:w="2250" w:type="dxa"/>
          </w:tcPr>
          <w:p>
            <w:pPr>
              <w:spacing w:after="0" w:line="240" w:lineRule="auto"/>
              <w:rPr>
                <w:rFonts w:ascii="Arial Narrow" w:hAnsi="Arial Narrow"/>
                <w:sz w:val="20"/>
                <w:szCs w:val="20"/>
              </w:rPr>
            </w:pPr>
            <w:r>
              <w:rPr>
                <w:rFonts w:ascii="Arial Narrow" w:hAnsi="Arial Narrow"/>
                <w:sz w:val="20"/>
                <w:szCs w:val="20"/>
              </w:rPr>
              <w:t>Assignment displays a professional voice with varied sentence structure and clear writing style. Language is persuasive, and thoughtful; writing takes an audience-centered approach.</w:t>
            </w:r>
          </w:p>
        </w:tc>
        <w:tc>
          <w:tcPr>
            <w:tcW w:w="810" w:type="dxa"/>
          </w:tcPr>
          <w:p>
            <w:pPr>
              <w:spacing w:after="0" w:line="240" w:lineRule="auto"/>
              <w:rPr>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150" w:hRule="atLeast"/>
        </w:trPr>
        <w:tc>
          <w:tcPr>
            <w:tcW w:w="9450" w:type="dxa"/>
            <w:gridSpan w:val="5"/>
          </w:tcPr>
          <w:p>
            <w:pPr>
              <w:spacing w:after="0" w:line="240" w:lineRule="auto"/>
              <w:rPr>
                <w:rFonts w:ascii="Arial Narrow" w:hAnsi="Arial Narrow"/>
                <w:sz w:val="20"/>
                <w:szCs w:val="20"/>
              </w:rPr>
            </w:pPr>
            <w:r>
              <w:rPr>
                <w:rFonts w:ascii="Arial Narrow" w:hAnsi="Arial Narrow"/>
                <w:sz w:val="20"/>
                <w:szCs w:val="20"/>
              </w:rPr>
              <w:t xml:space="preserve">Comments: </w:t>
            </w:r>
          </w:p>
          <w:p>
            <w:pPr>
              <w:spacing w:after="0" w:line="240" w:lineRule="auto"/>
              <w:rPr>
                <w:rFonts w:ascii="Arial Narrow" w:hAnsi="Arial Narrow"/>
                <w:sz w:val="20"/>
                <w:szCs w:val="20"/>
              </w:rPr>
            </w:pPr>
          </w:p>
        </w:tc>
        <w:tc>
          <w:tcPr>
            <w:tcW w:w="810" w:type="dxa"/>
          </w:tcPr>
          <w:p>
            <w:pPr>
              <w:spacing w:after="0" w:line="240" w:lineRule="auto"/>
              <w:rPr>
                <w:sz w:val="20"/>
                <w:szCs w:val="20"/>
              </w:rPr>
            </w:pPr>
            <w:r>
              <w:rPr>
                <w:sz w:val="20"/>
                <w:szCs w:val="20"/>
              </w:rPr>
              <w:t>Score:</w:t>
            </w:r>
          </w:p>
          <w:p>
            <w:pPr>
              <w:spacing w:after="0" w:line="240" w:lineRule="auto"/>
              <w:rPr>
                <w:sz w:val="20"/>
                <w:szCs w:val="20"/>
              </w:rPr>
            </w:pPr>
          </w:p>
        </w:tc>
      </w:tr>
    </w:tbl>
    <w:p>
      <w:pPr>
        <w:rPr>
          <w:sz w:val="20"/>
          <w:szCs w:val="20"/>
        </w:rPr>
      </w:pPr>
    </w:p>
    <w:p>
      <w:pPr>
        <w:spacing w:after="0" w:line="480" w:lineRule="auto"/>
        <w:ind w:left="720" w:hanging="720"/>
        <w:rPr>
          <w:rFonts w:ascii="Times New Roman" w:hAnsi="Times New Roman" w:cs="Times New Roman"/>
          <w:sz w:val="24"/>
          <w:szCs w:val="24"/>
        </w:rPr>
      </w:pPr>
      <w:bookmarkStart w:id="0" w:name="_GoBack"/>
      <w:bookmarkEnd w:id="0"/>
    </w:p>
    <w:p>
      <w:pPr>
        <w:spacing w:line="480" w:lineRule="auto"/>
        <w:rPr>
          <w:rFonts w:hint="default" w:ascii="Times New Roman" w:hAnsi="Times New Roman" w:cs="Times New Roman"/>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2EFF" w:usb1="C000247B" w:usb2="00000009" w:usb3="00000000" w:csb0="200001FF" w:csb1="00000000"/>
  </w:font>
  <w:font w:name="Calibri">
    <w:panose1 w:val="020F0502020204030204"/>
    <w:charset w:val="86"/>
    <w:family w:val="swiss"/>
    <w:pitch w:val="default"/>
    <w:sig w:usb0="E0002EFF" w:usb1="C000247B" w:usb2="00000009" w:usb3="00000000" w:csb0="200001FF" w:csb1="00000000"/>
  </w:font>
  <w:font w:name="Calibri">
    <w:panose1 w:val="020F0502020204030204"/>
    <w:charset w:val="00"/>
    <w:family w:val="auto"/>
    <w:pitch w:val="default"/>
    <w:sig w:usb0="E0002EFF" w:usb1="C000247B" w:usb2="00000009" w:usb3="00000000" w:csb0="200001FF" w:csb1="00000000"/>
  </w:font>
  <w:font w:name="Arial Narrow">
    <w:altName w:val="Arial"/>
    <w:panose1 w:val="020B0606020202030204"/>
    <w:charset w:val="00"/>
    <w:family w:val="swiss"/>
    <w:pitch w:val="default"/>
    <w:sig w:usb0="00000000" w:usb1="00000000" w:usb2="00000000" w:usb3="00000000" w:csb0="0000009F" w:csb1="0000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14320B"/>
    <w:rsid w:val="18F76B33"/>
    <w:rsid w:val="1A51217A"/>
    <w:rsid w:val="465C158C"/>
    <w:rsid w:val="5C2446C6"/>
    <w:rsid w:val="5D7B7AD9"/>
    <w:rsid w:val="6414320B"/>
    <w:rsid w:val="6FAE0885"/>
    <w:rsid w:val="706F72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imes New Roman" w:cstheme="minorHAns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6">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footer"/>
    <w:basedOn w:val="1"/>
    <w:unhideWhenUsed/>
    <w:qFormat/>
    <w:uiPriority w:val="99"/>
    <w:pPr>
      <w:tabs>
        <w:tab w:val="center" w:pos="4680"/>
        <w:tab w:val="right" w:pos="9360"/>
      </w:tabs>
      <w:spacing w:after="0" w:line="240" w:lineRule="auto"/>
    </w:pPr>
  </w:style>
  <w:style w:type="paragraph" w:styleId="3">
    <w:name w:val="header"/>
    <w:basedOn w:val="1"/>
    <w:unhideWhenUsed/>
    <w:qFormat/>
    <w:uiPriority w:val="99"/>
    <w:pPr>
      <w:tabs>
        <w:tab w:val="center" w:pos="4680"/>
        <w:tab w:val="right" w:pos="9360"/>
      </w:tabs>
      <w:spacing w:after="0" w:line="240" w:lineRule="auto"/>
    </w:pPr>
  </w:style>
  <w:style w:type="table" w:styleId="5">
    <w:name w:val="Table Grid"/>
    <w:basedOn w:val="4"/>
    <w:uiPriority w:val="59"/>
    <w:pPr>
      <w:spacing w:after="0" w:line="240" w:lineRule="auto"/>
    </w:pPr>
    <w:rPr>
      <w:rFonts w:cs="Times New Roma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character" w:styleId="7">
    <w:name w:val="Hyperlink"/>
    <w:basedOn w:val="6"/>
    <w:unhideWhenUsed/>
    <w:qFormat/>
    <w:uiPriority w:val="99"/>
    <w:rPr>
      <w:color w:val="0563C1"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Office_11.1.0.8573_F1E327BC-269C-435d-A152-05C5408002CA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2019-02-22T00:39:00Z</dcterms:created>
  <dc:creator>  Bilippar.</dc:creator>
  <cp:lastModifiedBy>  Bilippar.</cp:lastModifiedBy>
  <dcterms:modified xsi:type="dcterms:W3CDTF">2019-04-30T02:05:34Z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2052-11.1.0.8573</vt:lpwstr>
  </property>
</Properties>
</file>